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7F911" w14:textId="77777777" w:rsidR="007B1443" w:rsidRPr="007B1443" w:rsidRDefault="007B1443" w:rsidP="007B1443">
      <w:pPr>
        <w:widowControl/>
        <w:shd w:val="clear" w:color="auto" w:fill="FFFFFF"/>
        <w:spacing w:before="150" w:after="315" w:line="360" w:lineRule="atLeast"/>
        <w:jc w:val="center"/>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t>购房款赠与协议</w:t>
      </w:r>
    </w:p>
    <w:p w14:paraId="1DEAC0B8"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甲方（赠与人）：</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性别：</w:t>
      </w:r>
      <w:r w:rsidRPr="007B1443">
        <w:rPr>
          <w:rFonts w:ascii="宋体" w:eastAsia="宋体" w:hAnsi="宋体" w:cs="Arial" w:hint="eastAsia"/>
          <w:color w:val="000000"/>
          <w:kern w:val="0"/>
          <w:sz w:val="24"/>
          <w:szCs w:val="24"/>
          <w:u w:val="single"/>
        </w:rPr>
        <w:t>                    </w:t>
      </w:r>
    </w:p>
    <w:p w14:paraId="51F00784"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身份证号：</w:t>
      </w:r>
      <w:r w:rsidRPr="007B1443">
        <w:rPr>
          <w:rFonts w:ascii="宋体" w:eastAsia="宋体" w:hAnsi="宋体" w:cs="Arial" w:hint="eastAsia"/>
          <w:color w:val="000000"/>
          <w:kern w:val="0"/>
          <w:sz w:val="24"/>
          <w:szCs w:val="24"/>
          <w:u w:val="single"/>
        </w:rPr>
        <w:t>                                                            </w:t>
      </w:r>
    </w:p>
    <w:p w14:paraId="005D4765"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地址：</w:t>
      </w:r>
      <w:r w:rsidRPr="007B1443">
        <w:rPr>
          <w:rFonts w:ascii="宋体" w:eastAsia="宋体" w:hAnsi="宋体" w:cs="Arial" w:hint="eastAsia"/>
          <w:color w:val="000000"/>
          <w:kern w:val="0"/>
          <w:sz w:val="24"/>
          <w:szCs w:val="24"/>
          <w:u w:val="single"/>
        </w:rPr>
        <w:t>                                                                </w:t>
      </w:r>
    </w:p>
    <w:p w14:paraId="1588AB83"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联系方式：</w:t>
      </w:r>
      <w:r w:rsidRPr="007B1443">
        <w:rPr>
          <w:rFonts w:ascii="宋体" w:eastAsia="宋体" w:hAnsi="宋体" w:cs="Arial" w:hint="eastAsia"/>
          <w:color w:val="000000"/>
          <w:kern w:val="0"/>
          <w:sz w:val="24"/>
          <w:szCs w:val="24"/>
          <w:u w:val="single"/>
        </w:rPr>
        <w:t>                                                            </w:t>
      </w:r>
    </w:p>
    <w:p w14:paraId="37286E73"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乙方（受赠人）：</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性别：</w:t>
      </w:r>
      <w:r w:rsidRPr="007B1443">
        <w:rPr>
          <w:rFonts w:ascii="宋体" w:eastAsia="宋体" w:hAnsi="宋体" w:cs="Arial" w:hint="eastAsia"/>
          <w:color w:val="000000"/>
          <w:kern w:val="0"/>
          <w:sz w:val="24"/>
          <w:szCs w:val="24"/>
          <w:u w:val="single"/>
        </w:rPr>
        <w:t>                    </w:t>
      </w:r>
    </w:p>
    <w:p w14:paraId="2521F9EB"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身份证号：</w:t>
      </w:r>
      <w:r w:rsidRPr="007B1443">
        <w:rPr>
          <w:rFonts w:ascii="宋体" w:eastAsia="宋体" w:hAnsi="宋体" w:cs="Arial" w:hint="eastAsia"/>
          <w:color w:val="000000"/>
          <w:kern w:val="0"/>
          <w:sz w:val="24"/>
          <w:szCs w:val="24"/>
          <w:u w:val="single"/>
        </w:rPr>
        <w:t>                                                            </w:t>
      </w:r>
    </w:p>
    <w:p w14:paraId="237D64A5"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地址：</w:t>
      </w:r>
      <w:r w:rsidRPr="007B1443">
        <w:rPr>
          <w:rFonts w:ascii="宋体" w:eastAsia="宋体" w:hAnsi="宋体" w:cs="Arial" w:hint="eastAsia"/>
          <w:color w:val="000000"/>
          <w:kern w:val="0"/>
          <w:sz w:val="24"/>
          <w:szCs w:val="24"/>
          <w:u w:val="single"/>
        </w:rPr>
        <w:t>                                                                </w:t>
      </w:r>
    </w:p>
    <w:p w14:paraId="1C8AD13B"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联系方式：</w:t>
      </w:r>
      <w:r w:rsidRPr="007B1443">
        <w:rPr>
          <w:rFonts w:ascii="宋体" w:eastAsia="宋体" w:hAnsi="宋体" w:cs="Arial" w:hint="eastAsia"/>
          <w:color w:val="000000"/>
          <w:kern w:val="0"/>
          <w:sz w:val="24"/>
          <w:szCs w:val="24"/>
          <w:u w:val="single"/>
        </w:rPr>
        <w:t>                                                            </w:t>
      </w:r>
    </w:p>
    <w:p w14:paraId="14897C42"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甲乙双方（以下称“双方”）系父母与子女的关系，为资助乙方购买房屋，甲方自愿向乙方赠与购房所需的出资款项。经双方充分沟通、平等协商、自愿签署，达成赠与协议如下：</w:t>
      </w:r>
    </w:p>
    <w:p w14:paraId="7970AFD0"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t>一、赠与财产内容</w:t>
      </w:r>
    </w:p>
    <w:p w14:paraId="7315B579"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lastRenderedPageBreak/>
        <w:t>（一）甲方赠与乙方资金人民币（大写）</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圆（CNY</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），归乙方个人所有。 </w:t>
      </w:r>
    </w:p>
    <w:p w14:paraId="22DFC6FD"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（二）上述款项只能用于乙方购置个人住房之用。购置的房屋地址为：</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，该房屋登记于乙方名下。</w:t>
      </w:r>
    </w:p>
    <w:p w14:paraId="7DE19E44"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（三）因乙方已婚，甲方的实际出资及所购房产仅限于对乙方的赠与，不涉及乙方配偶，不属于乙方与其配偶的婚后共同财产。</w:t>
      </w:r>
    </w:p>
    <w:p w14:paraId="5381860C"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t>二、赠与财产的交付时间、地点及方式： </w:t>
      </w:r>
    </w:p>
    <w:p w14:paraId="2B005134"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（一）交付时间</w:t>
      </w:r>
    </w:p>
    <w:p w14:paraId="4637FF5F"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双方约定在乙方确定购买房屋后</w:t>
      </w:r>
      <w:r w:rsidRPr="007B1443">
        <w:rPr>
          <w:rFonts w:ascii="宋体" w:eastAsia="宋体" w:hAnsi="宋体" w:cs="Arial" w:hint="eastAsia"/>
          <w:color w:val="000000"/>
          <w:kern w:val="0"/>
          <w:sz w:val="24"/>
          <w:szCs w:val="24"/>
          <w:u w:val="single"/>
        </w:rPr>
        <w:t>        </w:t>
      </w:r>
      <w:r w:rsidRPr="007B1443">
        <w:rPr>
          <w:rFonts w:ascii="宋体" w:eastAsia="宋体" w:hAnsi="宋体" w:cs="Arial" w:hint="eastAsia"/>
          <w:color w:val="000000"/>
          <w:kern w:val="0"/>
          <w:sz w:val="24"/>
          <w:szCs w:val="24"/>
        </w:rPr>
        <w:t>天内交付赠与款。</w:t>
      </w:r>
    </w:p>
    <w:p w14:paraId="6D4CC44A"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（二）交付方式</w:t>
      </w:r>
    </w:p>
    <w:p w14:paraId="3513307D"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1. 甲方在约定期限内将赠与现金通过银行转入乙方指定的如下银行账号：</w:t>
      </w:r>
    </w:p>
    <w:p w14:paraId="3C37EA93"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户名：</w:t>
      </w:r>
      <w:r w:rsidRPr="007B1443">
        <w:rPr>
          <w:rFonts w:ascii="宋体" w:eastAsia="宋体" w:hAnsi="宋体" w:cs="Arial" w:hint="eastAsia"/>
          <w:color w:val="000000"/>
          <w:kern w:val="0"/>
          <w:sz w:val="24"/>
          <w:szCs w:val="24"/>
          <w:u w:val="single"/>
        </w:rPr>
        <w:t>                                                           </w:t>
      </w:r>
    </w:p>
    <w:p w14:paraId="482EE7F6"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银行账号：</w:t>
      </w:r>
      <w:r w:rsidRPr="007B1443">
        <w:rPr>
          <w:rFonts w:ascii="宋体" w:eastAsia="宋体" w:hAnsi="宋体" w:cs="Arial" w:hint="eastAsia"/>
          <w:color w:val="000000"/>
          <w:kern w:val="0"/>
          <w:sz w:val="24"/>
          <w:szCs w:val="24"/>
          <w:u w:val="single"/>
        </w:rPr>
        <w:t>                                                       </w:t>
      </w:r>
    </w:p>
    <w:p w14:paraId="4A85AB0C"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开户行：</w:t>
      </w:r>
      <w:r w:rsidRPr="007B1443">
        <w:rPr>
          <w:rFonts w:ascii="宋体" w:eastAsia="宋体" w:hAnsi="宋体" w:cs="Arial" w:hint="eastAsia"/>
          <w:color w:val="000000"/>
          <w:kern w:val="0"/>
          <w:sz w:val="24"/>
          <w:szCs w:val="24"/>
          <w:u w:val="single"/>
        </w:rPr>
        <w:t>                                                         </w:t>
      </w:r>
    </w:p>
    <w:p w14:paraId="04FFCDAB"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2. 乙方收到甲方赠与财产后，应当出具合法、有效的收据，以证明收到赠与款项。 </w:t>
      </w:r>
    </w:p>
    <w:p w14:paraId="6481D895"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t>三、甲方的权利义务</w:t>
      </w:r>
    </w:p>
    <w:p w14:paraId="645EC68F"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甲方有权向乙方查询赠与财产的使用、管理情况，并提出意见和建议。</w:t>
      </w:r>
    </w:p>
    <w:p w14:paraId="22F45483"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lastRenderedPageBreak/>
        <w:t>四、乙方的权利义务</w:t>
      </w:r>
    </w:p>
    <w:p w14:paraId="125AE309"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（一）对于甲方的查询，乙方应当如实答复。</w:t>
      </w:r>
    </w:p>
    <w:p w14:paraId="43C481A6"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（二）乙方必须按照本协议约定的用途合理使用受赠的财产，且不得擅自改变用途。如果确需改变用途的，应当征得甲方的同意，否则甲方有权撤销赠与。</w:t>
      </w:r>
    </w:p>
    <w:p w14:paraId="64AE8BAE" w14:textId="77777777" w:rsidR="007B1443" w:rsidRPr="007B1443" w:rsidRDefault="007B1443" w:rsidP="007B1443">
      <w:pPr>
        <w:widowControl/>
        <w:shd w:val="clear" w:color="auto" w:fill="FFFFFF"/>
        <w:spacing w:before="150" w:after="315" w:line="360" w:lineRule="atLeast"/>
        <w:jc w:val="left"/>
        <w:rPr>
          <w:rFonts w:ascii="Arial" w:eastAsia="宋体" w:hAnsi="Arial" w:cs="Arial"/>
          <w:color w:val="000000"/>
          <w:kern w:val="0"/>
          <w:sz w:val="24"/>
          <w:szCs w:val="24"/>
        </w:rPr>
      </w:pPr>
      <w:r w:rsidRPr="007B1443">
        <w:rPr>
          <w:rFonts w:ascii="宋体" w:eastAsia="宋体" w:hAnsi="宋体" w:cs="Arial" w:hint="eastAsia"/>
          <w:b/>
          <w:bCs/>
          <w:color w:val="000000"/>
          <w:kern w:val="0"/>
          <w:sz w:val="24"/>
          <w:szCs w:val="24"/>
        </w:rPr>
        <w:t>五、其他事项</w:t>
      </w:r>
    </w:p>
    <w:p w14:paraId="17316BE7"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（一）法律适用</w:t>
      </w:r>
    </w:p>
    <w:p w14:paraId="5E0540A7"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本协议适用中华人民共和国法律。</w:t>
      </w:r>
    </w:p>
    <w:p w14:paraId="0A8E284E"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（二）争议解决</w:t>
      </w:r>
    </w:p>
    <w:p w14:paraId="0AACDF74"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双方对本协议的效力、履行、解释、终止等存在争议，应通过友好协商并签订补充协议的方式解决。</w:t>
      </w:r>
    </w:p>
    <w:p w14:paraId="25051193"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（三）协议生效</w:t>
      </w:r>
    </w:p>
    <w:p w14:paraId="4E80033A"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1. 本协议自双方签字之日起成立，自甲方完成财产赠与之日起生效。</w:t>
      </w:r>
    </w:p>
    <w:p w14:paraId="2008A535"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2. 本协议正本一式二份，双方各持一份。</w:t>
      </w:r>
    </w:p>
    <w:p w14:paraId="06B6B3A1" w14:textId="77777777" w:rsidR="007B1443" w:rsidRPr="007B1443" w:rsidRDefault="007B1443" w:rsidP="007B1443">
      <w:pPr>
        <w:widowControl/>
        <w:shd w:val="clear" w:color="auto" w:fill="FFFFFF"/>
        <w:spacing w:before="150" w:after="315" w:line="360" w:lineRule="atLeast"/>
        <w:ind w:firstLine="480"/>
        <w:jc w:val="left"/>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 （以下无正文）</w:t>
      </w:r>
    </w:p>
    <w:tbl>
      <w:tblPr>
        <w:tblW w:w="853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3960"/>
        <w:gridCol w:w="4575"/>
      </w:tblGrid>
      <w:tr w:rsidR="007B1443" w:rsidRPr="007B1443" w14:paraId="6DCA4127" w14:textId="77777777" w:rsidTr="007B1443">
        <w:trPr>
          <w:trHeight w:val="600"/>
          <w:tblCellSpacing w:w="0" w:type="dxa"/>
        </w:trPr>
        <w:tc>
          <w:tcPr>
            <w:tcW w:w="3960" w:type="dxa"/>
            <w:tcBorders>
              <w:top w:val="nil"/>
              <w:left w:val="nil"/>
              <w:bottom w:val="nil"/>
              <w:right w:val="nil"/>
            </w:tcBorders>
            <w:shd w:val="clear" w:color="auto" w:fill="auto"/>
            <w:tcMar>
              <w:top w:w="0" w:type="dxa"/>
              <w:left w:w="105" w:type="dxa"/>
              <w:bottom w:w="0" w:type="dxa"/>
              <w:right w:w="105" w:type="dxa"/>
            </w:tcMar>
            <w:hideMark/>
          </w:tcPr>
          <w:p w14:paraId="2A15E502" w14:textId="77777777" w:rsidR="007B1443" w:rsidRPr="007B1443" w:rsidRDefault="007B1443" w:rsidP="007B1443">
            <w:pPr>
              <w:widowControl/>
              <w:spacing w:before="150" w:after="315" w:line="360" w:lineRule="atLeast"/>
              <w:ind w:firstLine="480"/>
              <w:jc w:val="center"/>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甲方：</w:t>
            </w:r>
          </w:p>
        </w:tc>
        <w:tc>
          <w:tcPr>
            <w:tcW w:w="4575" w:type="dxa"/>
            <w:tcBorders>
              <w:top w:val="nil"/>
              <w:left w:val="nil"/>
              <w:bottom w:val="nil"/>
              <w:right w:val="nil"/>
            </w:tcBorders>
            <w:shd w:val="clear" w:color="auto" w:fill="auto"/>
            <w:tcMar>
              <w:top w:w="0" w:type="dxa"/>
              <w:left w:w="105" w:type="dxa"/>
              <w:bottom w:w="0" w:type="dxa"/>
              <w:right w:w="105" w:type="dxa"/>
            </w:tcMar>
            <w:hideMark/>
          </w:tcPr>
          <w:p w14:paraId="24FF3613" w14:textId="77777777" w:rsidR="007B1443" w:rsidRPr="007B1443" w:rsidRDefault="007B1443" w:rsidP="007B1443">
            <w:pPr>
              <w:widowControl/>
              <w:spacing w:before="150" w:after="315" w:line="360" w:lineRule="atLeast"/>
              <w:ind w:firstLine="480"/>
              <w:jc w:val="center"/>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乙方：</w:t>
            </w:r>
          </w:p>
        </w:tc>
      </w:tr>
      <w:tr w:rsidR="007B1443" w:rsidRPr="007B1443" w14:paraId="50D3D4E1" w14:textId="77777777" w:rsidTr="007B1443">
        <w:trPr>
          <w:trHeight w:val="600"/>
          <w:tblCellSpacing w:w="0" w:type="dxa"/>
        </w:trPr>
        <w:tc>
          <w:tcPr>
            <w:tcW w:w="3960" w:type="dxa"/>
            <w:tcBorders>
              <w:top w:val="nil"/>
              <w:left w:val="nil"/>
              <w:bottom w:val="nil"/>
              <w:right w:val="nil"/>
            </w:tcBorders>
            <w:shd w:val="clear" w:color="auto" w:fill="auto"/>
            <w:tcMar>
              <w:top w:w="0" w:type="dxa"/>
              <w:left w:w="105" w:type="dxa"/>
              <w:bottom w:w="0" w:type="dxa"/>
              <w:right w:w="105" w:type="dxa"/>
            </w:tcMar>
            <w:hideMark/>
          </w:tcPr>
          <w:p w14:paraId="03327599" w14:textId="77777777" w:rsidR="007B1443" w:rsidRPr="007B1443" w:rsidRDefault="007B1443" w:rsidP="007B1443">
            <w:pPr>
              <w:widowControl/>
              <w:spacing w:before="150" w:after="315" w:line="360" w:lineRule="atLeast"/>
              <w:ind w:firstLine="480"/>
              <w:jc w:val="center"/>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年    月    日</w:t>
            </w:r>
          </w:p>
        </w:tc>
        <w:tc>
          <w:tcPr>
            <w:tcW w:w="4575" w:type="dxa"/>
            <w:tcBorders>
              <w:top w:val="nil"/>
              <w:left w:val="nil"/>
              <w:bottom w:val="nil"/>
              <w:right w:val="nil"/>
            </w:tcBorders>
            <w:shd w:val="clear" w:color="auto" w:fill="auto"/>
            <w:tcMar>
              <w:top w:w="0" w:type="dxa"/>
              <w:left w:w="105" w:type="dxa"/>
              <w:bottom w:w="0" w:type="dxa"/>
              <w:right w:w="105" w:type="dxa"/>
            </w:tcMar>
            <w:hideMark/>
          </w:tcPr>
          <w:p w14:paraId="41D62EF2" w14:textId="77777777" w:rsidR="007B1443" w:rsidRPr="007B1443" w:rsidRDefault="007B1443" w:rsidP="007B1443">
            <w:pPr>
              <w:widowControl/>
              <w:spacing w:before="150" w:after="315" w:line="360" w:lineRule="atLeast"/>
              <w:ind w:firstLine="480"/>
              <w:jc w:val="center"/>
              <w:rPr>
                <w:rFonts w:ascii="Arial" w:eastAsia="宋体" w:hAnsi="Arial" w:cs="Arial"/>
                <w:color w:val="000000"/>
                <w:kern w:val="0"/>
                <w:sz w:val="24"/>
                <w:szCs w:val="24"/>
              </w:rPr>
            </w:pPr>
            <w:r w:rsidRPr="007B1443">
              <w:rPr>
                <w:rFonts w:ascii="宋体" w:eastAsia="宋体" w:hAnsi="宋体" w:cs="Arial" w:hint="eastAsia"/>
                <w:color w:val="000000"/>
                <w:kern w:val="0"/>
                <w:sz w:val="24"/>
                <w:szCs w:val="24"/>
              </w:rPr>
              <w:t>年    月    日</w:t>
            </w:r>
          </w:p>
        </w:tc>
      </w:tr>
    </w:tbl>
    <w:p w14:paraId="018ABEF4" w14:textId="77777777" w:rsidR="00784E80" w:rsidRDefault="00784E80">
      <w:bookmarkStart w:id="0" w:name="_GoBack"/>
      <w:bookmarkEnd w:id="0"/>
    </w:p>
    <w:sectPr w:rsidR="00784E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8E"/>
    <w:rsid w:val="00784E80"/>
    <w:rsid w:val="007B1443"/>
    <w:rsid w:val="00CB3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42664-BE06-4954-BD84-45303A75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144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B1443"/>
    <w:rPr>
      <w:b/>
      <w:bCs/>
    </w:rPr>
  </w:style>
  <w:style w:type="character" w:customStyle="1" w:styleId="apple-converted-space">
    <w:name w:val="apple-converted-space"/>
    <w:basedOn w:val="a0"/>
    <w:rsid w:val="007B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64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吴 卓</cp:lastModifiedBy>
  <cp:revision>2</cp:revision>
  <dcterms:created xsi:type="dcterms:W3CDTF">2021-02-24T07:24:00Z</dcterms:created>
  <dcterms:modified xsi:type="dcterms:W3CDTF">2021-02-24T07:24:00Z</dcterms:modified>
</cp:coreProperties>
</file>